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firstLine="200" w:firstLineChars="83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4"/>
          <w:szCs w:val="36"/>
          <w:highlight w:val="none"/>
          <w:lang w:val="en-US" w:eastAsia="zh-CN" w:bidi="ar-SA"/>
        </w:rPr>
        <w:t>附件二：疫情期间行程查询操作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firstLine="200" w:firstLineChars="83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36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71750" cy="3343275"/>
            <wp:effectExtent l="0" t="0" r="0" b="9525"/>
            <wp:docPr id="1" name="图片 1" descr="QQ图片2020031815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318154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73020" cy="3344545"/>
            <wp:effectExtent l="0" t="0" r="17780" b="8255"/>
            <wp:docPr id="2" name="图片 2" descr="QQ图片2020031815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3181540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72385" cy="3344545"/>
            <wp:effectExtent l="0" t="0" r="18415" b="8255"/>
            <wp:docPr id="3" name="图片 3" descr="QQ图片2020031815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3181540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1、用微信扫一扫相应的运营商，输入手机号码和验证码，即可查询疫情期间的行程。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A1446"/>
    <w:rsid w:val="618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2020-04-08T02:53:00Z</dcterms:created>
  <dc:creator>Administrator</dc:creator>
  <cp:lastModifiedBy>Administrator</cp:lastModifiedBy>
  <dcterms:modified xsi:type="dcterms:W3CDTF">2020-04-08T02:53:29Z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